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ANEXO IV</w:t>
      </w:r>
    </w:p>
    <w:p>
      <w:pPr>
        <w:pStyle w:val="Normal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DECLARAÇÃO DE ACEITE DO ORIENTADOR</w:t>
      </w:r>
    </w:p>
    <w:p>
      <w:pPr>
        <w:pStyle w:val="Normal"/>
        <w:spacing w:lineRule="auto" w:line="360" w:before="360" w:after="36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600" w:before="0" w:after="0"/>
        <w:ind w:left="-5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Eu, ____________________________________________________________, declaro aceitar orientar o aluno(a) ______________________________________________________________, na elaboração do Trabalho de Conclusão de Curso </w:t>
      </w:r>
      <w:r>
        <w:rPr>
          <w:color w:val="auto"/>
          <w:sz w:val="24"/>
          <w:szCs w:val="24"/>
          <w:lang w:val="pt-BR"/>
        </w:rPr>
        <w:t xml:space="preserve">/ Projeto Final de Curso </w:t>
      </w:r>
      <w:r>
        <w:rPr>
          <w:color w:val="auto"/>
          <w:sz w:val="24"/>
          <w:szCs w:val="24"/>
        </w:rPr>
        <w:t xml:space="preserve">no tema especificado acima. </w:t>
      </w:r>
    </w:p>
    <w:p>
      <w:pPr>
        <w:pStyle w:val="Normal"/>
        <w:spacing w:lineRule="auto" w:line="360" w:before="0" w:after="0"/>
        <w:ind w:left="0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right="36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Divinópolis, ____ de ___________________ de ________</w:t>
      </w:r>
    </w:p>
    <w:p>
      <w:pPr>
        <w:pStyle w:val="Normal"/>
        <w:spacing w:lineRule="auto" w:line="360" w:before="0" w:after="0"/>
        <w:ind w:left="-5" w:right="36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right="36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0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</w:t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Assinatura do(a) Orientador(a): </w:t>
        <w:tab/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214</Words>
  <Characters>1432</Characters>
  <CharactersWithSpaces>1694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2024-03-21T17:32:15Z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